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仿宋_GB2312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附件2</w:t>
      </w:r>
      <w:r>
        <w:rPr>
          <w:rFonts w:hint="eastAsia" w:ascii="仿宋_GB2312" w:hAnsi="仿宋_GB2312" w:cs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云南财经大学第十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六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教师教学基本功比赛教学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设计评分表</w:t>
      </w:r>
    </w:p>
    <w:tbl>
      <w:tblPr>
        <w:tblStyle w:val="4"/>
        <w:tblpPr w:leftFromText="180" w:rightFromText="180" w:vertAnchor="text" w:horzAnchor="page" w:tblpXSpec="center" w:tblpY="616"/>
        <w:tblOverlap w:val="never"/>
        <w:tblW w:w="80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2851"/>
        <w:gridCol w:w="2490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09" w:type="dxa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项目</w:t>
            </w: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测评要求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09" w:type="dxa"/>
            <w:vMerge w:val="restart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材料1：教学设计材料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材料2：课件材料</w:t>
            </w:r>
            <w:r>
              <w:rPr>
                <w:rFonts w:hint="eastAsia" w:ascii="仿宋_GB2312" w:hAnsi="仿宋_GB2312" w:cs="仿宋_GB2312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100分）</w:t>
            </w: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符合教学大纲，内容充实，反映学科前沿（10分）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409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教学目标明确、思路清晰。（15分）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09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准确把握课程的重点和难点，针对性强（15分）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1409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灵活进行混合式教学，教学内容涵盖课前—课中—课后全周期，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教学进程组织合理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教学设计充分体现“以学生为中心”。（30分）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409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教学方法手段运用恰当，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教学设计过程充分体现智慧教学工具的应用，开展课程互动，如签到、答题、师生互动、随机点名、分组讨论等（30分）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409" w:type="dxa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评审专家代表签字</w:t>
            </w:r>
          </w:p>
        </w:tc>
        <w:tc>
          <w:tcPr>
            <w:tcW w:w="2851" w:type="dxa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合计得分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asciiTheme="minorEastAsia" w:hAnsiTheme="minorEastAsia" w:eastAsia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